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BD7638">
        <w:rPr>
          <w:rFonts w:ascii="ＭＳ ゴシック" w:hAnsi="ＭＳ ゴシック" w:cs="ＭＳ ゴシック" w:hint="eastAsia"/>
        </w:rPr>
        <w:t>・４・５・６・７</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6430AC">
      <w:footerReference w:type="default" r:id="rId8"/>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60" w:rsidRDefault="00515260" w:rsidP="008A095B">
      <w:r>
        <w:separator/>
      </w:r>
    </w:p>
  </w:endnote>
  <w:endnote w:type="continuationSeparator" w:id="0">
    <w:p w:rsidR="00515260" w:rsidRDefault="0051526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7C7D67" w:rsidRPr="007C7D67">
      <w:rPr>
        <w:noProof/>
        <w:lang w:val="ja-JP"/>
      </w:rPr>
      <w:t>8</w:t>
    </w:r>
    <w:r>
      <w:fldChar w:fldCharType="end"/>
    </w:r>
  </w:p>
  <w:p w:rsidR="00515260" w:rsidRDefault="00515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60" w:rsidRDefault="00515260" w:rsidP="008A095B">
      <w:r>
        <w:separator/>
      </w:r>
    </w:p>
  </w:footnote>
  <w:footnote w:type="continuationSeparator" w:id="0">
    <w:p w:rsidR="00515260" w:rsidRDefault="00515260" w:rsidP="008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89"/>
  <w:drawingGridVerticalSpacing w:val="143"/>
  <w:displayHorizontalDrawingGridEvery w:val="0"/>
  <w:displayVerticalDrawingGridEvery w:val="2"/>
  <w:characterSpacingControl w:val="compressPunctuation"/>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C7D67"/>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7EEB-6021-420E-AB81-AAEF34F1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4856</Words>
  <Characters>1979</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2019-04-05T04:14:00Z</dcterms:created>
  <dcterms:modified xsi:type="dcterms:W3CDTF">2019-11-01T10:53:00Z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